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51" w:type="dxa"/>
        <w:tblInd w:w="47" w:type="dxa"/>
        <w:tblLook w:val="04A0" w:firstRow="1" w:lastRow="0" w:firstColumn="1" w:lastColumn="0" w:noHBand="0" w:noVBand="1"/>
      </w:tblPr>
      <w:tblGrid>
        <w:gridCol w:w="2978"/>
        <w:gridCol w:w="6273"/>
      </w:tblGrid>
      <w:tr w:rsidR="0049115C" w:rsidRPr="00326698">
        <w:trPr>
          <w:trHeight w:val="376"/>
        </w:trPr>
        <w:tc>
          <w:tcPr>
            <w:tcW w:w="2978" w:type="dxa"/>
            <w:tcBorders>
              <w:top w:val="nil"/>
              <w:left w:val="nil"/>
              <w:bottom w:val="nil"/>
              <w:right w:val="nil"/>
            </w:tcBorders>
          </w:tcPr>
          <w:p w:rsidR="0049115C" w:rsidRPr="00326698" w:rsidRDefault="00F553CF">
            <w:pPr>
              <w:spacing w:after="0" w:line="259" w:lineRule="auto"/>
              <w:ind w:left="0" w:firstLine="0"/>
            </w:pPr>
            <w:r w:rsidRPr="00326698">
              <w:rPr>
                <w:b/>
              </w:rPr>
              <w:t>Application Number</w:t>
            </w:r>
          </w:p>
        </w:tc>
        <w:tc>
          <w:tcPr>
            <w:tcW w:w="6273" w:type="dxa"/>
            <w:tcBorders>
              <w:top w:val="nil"/>
              <w:left w:val="nil"/>
              <w:bottom w:val="nil"/>
              <w:right w:val="nil"/>
            </w:tcBorders>
          </w:tcPr>
          <w:p w:rsidR="0049115C" w:rsidRPr="00326698" w:rsidRDefault="00F553CF">
            <w:pPr>
              <w:spacing w:after="0" w:line="259" w:lineRule="auto"/>
              <w:ind w:left="0" w:firstLine="0"/>
            </w:pPr>
            <w:r w:rsidRPr="00326698">
              <w:t>07/2016/0310/OUT</w:t>
            </w:r>
          </w:p>
        </w:tc>
      </w:tr>
      <w:tr w:rsidR="0049115C" w:rsidRPr="00326698">
        <w:trPr>
          <w:trHeight w:val="758"/>
        </w:trPr>
        <w:tc>
          <w:tcPr>
            <w:tcW w:w="2978" w:type="dxa"/>
            <w:tcBorders>
              <w:top w:val="nil"/>
              <w:left w:val="nil"/>
              <w:bottom w:val="nil"/>
              <w:right w:val="nil"/>
            </w:tcBorders>
          </w:tcPr>
          <w:p w:rsidR="0049115C" w:rsidRPr="00326698" w:rsidRDefault="00F553CF">
            <w:pPr>
              <w:spacing w:after="0" w:line="259" w:lineRule="auto"/>
              <w:ind w:left="0" w:firstLine="0"/>
            </w:pPr>
            <w:r w:rsidRPr="00326698">
              <w:rPr>
                <w:b/>
              </w:rPr>
              <w:t>Address</w:t>
            </w:r>
          </w:p>
        </w:tc>
        <w:tc>
          <w:tcPr>
            <w:tcW w:w="6273" w:type="dxa"/>
            <w:tcBorders>
              <w:top w:val="nil"/>
              <w:left w:val="nil"/>
              <w:bottom w:val="nil"/>
              <w:right w:val="nil"/>
            </w:tcBorders>
            <w:vAlign w:val="center"/>
          </w:tcPr>
          <w:p w:rsidR="0049115C" w:rsidRPr="00326698" w:rsidRDefault="00F553CF">
            <w:pPr>
              <w:spacing w:after="0" w:line="259" w:lineRule="auto"/>
              <w:ind w:left="0" w:right="2242" w:firstLine="0"/>
            </w:pPr>
            <w:r w:rsidRPr="00326698">
              <w:t xml:space="preserve">Land To The North of </w:t>
            </w:r>
            <w:proofErr w:type="spellStart"/>
            <w:r w:rsidRPr="00326698">
              <w:t>Altcar</w:t>
            </w:r>
            <w:proofErr w:type="spellEnd"/>
            <w:r w:rsidRPr="00326698">
              <w:t xml:space="preserve"> Lane Leyland</w:t>
            </w:r>
          </w:p>
        </w:tc>
      </w:tr>
      <w:tr w:rsidR="0049115C" w:rsidRPr="00326698">
        <w:trPr>
          <w:trHeight w:val="2024"/>
        </w:trPr>
        <w:tc>
          <w:tcPr>
            <w:tcW w:w="2978" w:type="dxa"/>
            <w:tcBorders>
              <w:top w:val="nil"/>
              <w:left w:val="nil"/>
              <w:bottom w:val="nil"/>
              <w:right w:val="nil"/>
            </w:tcBorders>
          </w:tcPr>
          <w:p w:rsidR="00666E5A" w:rsidRPr="00326698" w:rsidRDefault="00666E5A" w:rsidP="002F7335">
            <w:pPr>
              <w:spacing w:after="233" w:line="259" w:lineRule="auto"/>
              <w:ind w:left="0" w:firstLine="0"/>
              <w:rPr>
                <w:b/>
              </w:rPr>
            </w:pPr>
          </w:p>
          <w:p w:rsidR="002F7335" w:rsidRPr="00326698" w:rsidRDefault="00F553CF" w:rsidP="002F7335">
            <w:pPr>
              <w:spacing w:after="233" w:line="259" w:lineRule="auto"/>
              <w:ind w:left="0" w:firstLine="0"/>
            </w:pPr>
            <w:r w:rsidRPr="00326698">
              <w:rPr>
                <w:b/>
              </w:rPr>
              <w:t>Applicant</w:t>
            </w:r>
            <w:r w:rsidR="002F7335" w:rsidRPr="00326698">
              <w:t xml:space="preserve">                        </w:t>
            </w:r>
          </w:p>
          <w:p w:rsidR="0049115C" w:rsidRPr="00326698" w:rsidRDefault="0049115C" w:rsidP="002F7335">
            <w:pPr>
              <w:spacing w:after="233" w:line="259" w:lineRule="auto"/>
              <w:ind w:left="0" w:firstLine="0"/>
            </w:pPr>
          </w:p>
        </w:tc>
        <w:tc>
          <w:tcPr>
            <w:tcW w:w="6273" w:type="dxa"/>
            <w:tcBorders>
              <w:top w:val="nil"/>
              <w:left w:val="nil"/>
              <w:bottom w:val="nil"/>
              <w:right w:val="nil"/>
            </w:tcBorders>
            <w:vAlign w:val="center"/>
          </w:tcPr>
          <w:p w:rsidR="0049115C" w:rsidRPr="00326698" w:rsidRDefault="00F553CF">
            <w:pPr>
              <w:spacing w:after="233" w:line="259" w:lineRule="auto"/>
              <w:ind w:left="0" w:firstLine="0"/>
            </w:pPr>
            <w:r w:rsidRPr="00326698">
              <w:t>Homes and Communities Agency</w:t>
            </w:r>
          </w:p>
          <w:p w:rsidR="0049115C" w:rsidRPr="00326698" w:rsidRDefault="0049115C">
            <w:pPr>
              <w:spacing w:after="0" w:line="259" w:lineRule="auto"/>
              <w:ind w:left="0" w:firstLine="0"/>
            </w:pPr>
          </w:p>
        </w:tc>
      </w:tr>
      <w:tr w:rsidR="0049115C" w:rsidRPr="00326698">
        <w:trPr>
          <w:trHeight w:val="760"/>
        </w:trPr>
        <w:tc>
          <w:tcPr>
            <w:tcW w:w="2978" w:type="dxa"/>
            <w:tcBorders>
              <w:top w:val="nil"/>
              <w:left w:val="nil"/>
              <w:bottom w:val="nil"/>
              <w:right w:val="nil"/>
            </w:tcBorders>
          </w:tcPr>
          <w:p w:rsidR="0049115C" w:rsidRPr="00326698" w:rsidRDefault="00695285">
            <w:pPr>
              <w:spacing w:after="0" w:line="259" w:lineRule="auto"/>
              <w:ind w:left="0" w:firstLine="0"/>
            </w:pPr>
            <w:r w:rsidRPr="00326698">
              <w:rPr>
                <w:b/>
              </w:rPr>
              <w:t xml:space="preserve">Proposal </w:t>
            </w:r>
          </w:p>
        </w:tc>
        <w:tc>
          <w:tcPr>
            <w:tcW w:w="6273" w:type="dxa"/>
            <w:tcBorders>
              <w:top w:val="nil"/>
              <w:left w:val="nil"/>
              <w:bottom w:val="nil"/>
              <w:right w:val="nil"/>
            </w:tcBorders>
            <w:vAlign w:val="center"/>
          </w:tcPr>
          <w:p w:rsidR="0049115C" w:rsidRPr="00326698" w:rsidRDefault="00695285" w:rsidP="00695285">
            <w:pPr>
              <w:spacing w:after="0" w:line="259" w:lineRule="auto"/>
              <w:ind w:left="0" w:firstLine="0"/>
            </w:pPr>
            <w:r w:rsidRPr="00326698">
              <w:t>To vary the Section 106 agreement associated with this site to provide for 30% affordable housing units</w:t>
            </w:r>
            <w:r w:rsidR="00D06BC5" w:rsidRPr="00326698">
              <w:t xml:space="preserve"> as part of a Deed of Variation. </w:t>
            </w:r>
            <w:r w:rsidRPr="00326698">
              <w:t xml:space="preserve"> </w:t>
            </w:r>
          </w:p>
        </w:tc>
      </w:tr>
      <w:tr w:rsidR="0049115C" w:rsidRPr="00326698">
        <w:trPr>
          <w:trHeight w:val="2024"/>
        </w:trPr>
        <w:tc>
          <w:tcPr>
            <w:tcW w:w="2978" w:type="dxa"/>
            <w:tcBorders>
              <w:top w:val="nil"/>
              <w:left w:val="nil"/>
              <w:bottom w:val="nil"/>
              <w:right w:val="nil"/>
            </w:tcBorders>
          </w:tcPr>
          <w:p w:rsidR="0049115C" w:rsidRPr="00326698" w:rsidRDefault="00F553CF">
            <w:pPr>
              <w:spacing w:after="0" w:line="259" w:lineRule="auto"/>
              <w:ind w:left="0" w:firstLine="0"/>
            </w:pPr>
            <w:r w:rsidRPr="00326698">
              <w:rPr>
                <w:b/>
              </w:rPr>
              <w:t>Officer Recommendation</w:t>
            </w:r>
          </w:p>
        </w:tc>
        <w:tc>
          <w:tcPr>
            <w:tcW w:w="6273" w:type="dxa"/>
            <w:tcBorders>
              <w:top w:val="nil"/>
              <w:left w:val="nil"/>
              <w:bottom w:val="nil"/>
              <w:right w:val="nil"/>
            </w:tcBorders>
            <w:vAlign w:val="center"/>
          </w:tcPr>
          <w:p w:rsidR="0049115C" w:rsidRPr="00326698" w:rsidRDefault="00F553CF" w:rsidP="00E771D5">
            <w:pPr>
              <w:spacing w:after="0" w:line="259" w:lineRule="auto"/>
              <w:ind w:left="0" w:right="4" w:firstLine="0"/>
            </w:pPr>
            <w:r w:rsidRPr="00326698">
              <w:t xml:space="preserve">That Members </w:t>
            </w:r>
            <w:r w:rsidR="00D06BC5" w:rsidRPr="00326698">
              <w:t>note the report and be minded to support</w:t>
            </w:r>
            <w:r w:rsidRPr="00326698">
              <w:t xml:space="preserve"> the </w:t>
            </w:r>
            <w:r w:rsidR="00E771D5" w:rsidRPr="00326698">
              <w:t>supplementary</w:t>
            </w:r>
            <w:r w:rsidR="00D06BC5" w:rsidRPr="00326698">
              <w:t xml:space="preserve"> Deed of V</w:t>
            </w:r>
            <w:r w:rsidR="00E771D5" w:rsidRPr="00326698">
              <w:t>ariation and that the details</w:t>
            </w:r>
            <w:r w:rsidRPr="00326698">
              <w:t xml:space="preserve"> be delegated to the Planning Manager in consultation with the Chair and Vice-Chair of the Planning Committee upon</w:t>
            </w:r>
            <w:r w:rsidR="00E771D5" w:rsidRPr="00326698">
              <w:t xml:space="preserve"> the successful completion of the Deed of Variation </w:t>
            </w:r>
            <w:r w:rsidRPr="00326698">
              <w:t xml:space="preserve">to secure </w:t>
            </w:r>
            <w:r w:rsidR="00EB0563" w:rsidRPr="00326698">
              <w:t xml:space="preserve">proposed level of </w:t>
            </w:r>
            <w:r w:rsidR="00E771D5" w:rsidRPr="00326698">
              <w:t>affordable housing</w:t>
            </w:r>
            <w:r w:rsidR="00D06BC5" w:rsidRPr="00326698">
              <w:t>.</w:t>
            </w:r>
            <w:r w:rsidR="00E771D5" w:rsidRPr="00326698">
              <w:t xml:space="preserve"> </w:t>
            </w:r>
          </w:p>
        </w:tc>
      </w:tr>
    </w:tbl>
    <w:p w:rsidR="0049115C" w:rsidRPr="00326698" w:rsidRDefault="00F553CF">
      <w:pPr>
        <w:spacing w:after="7" w:line="259" w:lineRule="auto"/>
        <w:ind w:left="51" w:firstLine="0"/>
      </w:pPr>
      <w:r w:rsidRPr="00326698">
        <w:rPr>
          <w:noProof/>
        </w:rPr>
        <w:drawing>
          <wp:inline distT="0" distB="0" distL="0" distR="0">
            <wp:extent cx="5759450" cy="406527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5759450" cy="4065270"/>
                    </a:xfrm>
                    <a:prstGeom prst="rect">
                      <a:avLst/>
                    </a:prstGeom>
                  </pic:spPr>
                </pic:pic>
              </a:graphicData>
            </a:graphic>
          </wp:inline>
        </w:drawing>
      </w:r>
    </w:p>
    <w:p w:rsidR="0049115C" w:rsidRPr="00326698" w:rsidRDefault="00F553CF">
      <w:pPr>
        <w:pStyle w:val="Heading1"/>
        <w:ind w:left="28"/>
      </w:pPr>
      <w:r w:rsidRPr="00326698">
        <w:t>1.0 Report Summary</w:t>
      </w:r>
    </w:p>
    <w:p w:rsidR="00123570" w:rsidRPr="00326698" w:rsidRDefault="00F553CF" w:rsidP="00123570">
      <w:pPr>
        <w:spacing w:after="9"/>
        <w:ind w:left="42" w:right="21"/>
      </w:pPr>
      <w:r w:rsidRPr="00326698">
        <w:t>1.1 Planning permission</w:t>
      </w:r>
      <w:r w:rsidR="00123570" w:rsidRPr="00326698">
        <w:t xml:space="preserve"> has been granted for the </w:t>
      </w:r>
      <w:r w:rsidRPr="00326698">
        <w:t xml:space="preserve">construction of up to 200 dwellings on part of land at </w:t>
      </w:r>
      <w:proofErr w:type="spellStart"/>
      <w:r w:rsidRPr="00326698">
        <w:t>Altcar</w:t>
      </w:r>
      <w:proofErr w:type="spellEnd"/>
      <w:r w:rsidRPr="00326698">
        <w:t xml:space="preserve"> Lane. </w:t>
      </w:r>
      <w:r w:rsidR="00123570" w:rsidRPr="00326698">
        <w:t>A Section 106 agreement relates to the site which secured 40% of the dwellings to be part of the Government Initiative</w:t>
      </w:r>
      <w:r w:rsidR="00DF5506" w:rsidRPr="00326698">
        <w:t xml:space="preserve"> known as</w:t>
      </w:r>
      <w:r w:rsidR="00123570" w:rsidRPr="00326698">
        <w:t xml:space="preserve"> Starter Homes.</w:t>
      </w:r>
    </w:p>
    <w:p w:rsidR="00123570" w:rsidRPr="00326698" w:rsidRDefault="00123570" w:rsidP="00123570">
      <w:pPr>
        <w:spacing w:after="9"/>
        <w:ind w:left="42" w:right="21"/>
      </w:pPr>
    </w:p>
    <w:p w:rsidR="00123570" w:rsidRPr="00326698" w:rsidRDefault="00123570" w:rsidP="00123570">
      <w:pPr>
        <w:spacing w:after="9"/>
        <w:ind w:left="42" w:right="21"/>
      </w:pPr>
      <w:r w:rsidRPr="00326698">
        <w:lastRenderedPageBreak/>
        <w:t xml:space="preserve">1.2 As Starter Homes are unlikely to come forward the applicant is seeking to amend the Section 106 to reflect this change. Instead the development would provide 30% Affordable Housing Units and as </w:t>
      </w:r>
      <w:r w:rsidR="00DF5506" w:rsidRPr="00326698">
        <w:t xml:space="preserve">such meets the aims of Policy 7 of the Central Lancashire Core Strategy. </w:t>
      </w:r>
    </w:p>
    <w:p w:rsidR="00123570" w:rsidRPr="00326698" w:rsidRDefault="00123570">
      <w:pPr>
        <w:spacing w:after="0" w:line="259" w:lineRule="auto"/>
        <w:ind w:left="33" w:firstLine="0"/>
      </w:pPr>
    </w:p>
    <w:p w:rsidR="0049115C" w:rsidRPr="00326698" w:rsidRDefault="00123570">
      <w:pPr>
        <w:ind w:left="42" w:right="21"/>
      </w:pPr>
      <w:r w:rsidRPr="00326698">
        <w:t>1.3</w:t>
      </w:r>
      <w:r w:rsidR="00F553CF" w:rsidRPr="00326698">
        <w:t xml:space="preserve"> Therefore, the off</w:t>
      </w:r>
      <w:r w:rsidR="00AA0973" w:rsidRPr="00326698">
        <w:t>icer recommendation is to approve the</w:t>
      </w:r>
      <w:r w:rsidR="00DF5506" w:rsidRPr="00326698">
        <w:t xml:space="preserve"> changes to the Section 106 agreement through a </w:t>
      </w:r>
      <w:r w:rsidR="00AA0973" w:rsidRPr="00326698">
        <w:t xml:space="preserve">Deed of Variation. </w:t>
      </w:r>
    </w:p>
    <w:p w:rsidR="0049115C" w:rsidRPr="00326698" w:rsidRDefault="00F553CF">
      <w:pPr>
        <w:pStyle w:val="Heading1"/>
        <w:ind w:left="28"/>
      </w:pPr>
      <w:r w:rsidRPr="00326698">
        <w:t>2.0 Site and Surrounding Area</w:t>
      </w:r>
    </w:p>
    <w:p w:rsidR="0049115C" w:rsidRPr="00326698" w:rsidRDefault="00F553CF">
      <w:pPr>
        <w:ind w:left="42" w:right="21"/>
      </w:pPr>
      <w:r w:rsidRPr="00326698">
        <w:t xml:space="preserve">2.1 The application site is located approximately 2km south of Leyland town centre on land to the north of </w:t>
      </w:r>
      <w:proofErr w:type="spellStart"/>
      <w:r w:rsidRPr="00326698">
        <w:t>Altcar</w:t>
      </w:r>
      <w:proofErr w:type="spellEnd"/>
      <w:r w:rsidRPr="00326698">
        <w:t xml:space="preserve"> Lane, Leyland. To the north and east lies agricultural land which is allocated for housing. </w:t>
      </w:r>
      <w:proofErr w:type="spellStart"/>
      <w:r w:rsidRPr="00326698">
        <w:t>Altcar</w:t>
      </w:r>
      <w:proofErr w:type="spellEnd"/>
      <w:r w:rsidRPr="00326698">
        <w:t xml:space="preserve"> Lane forms the southern boundary with open countryside beyond. The rear gardens of properties on Leyland Lane and </w:t>
      </w:r>
      <w:proofErr w:type="spellStart"/>
      <w:r w:rsidRPr="00326698">
        <w:t>Altcar</w:t>
      </w:r>
      <w:proofErr w:type="spellEnd"/>
      <w:r w:rsidRPr="00326698">
        <w:t xml:space="preserve"> Lane form the western boundary. </w:t>
      </w:r>
    </w:p>
    <w:p w:rsidR="0049115C" w:rsidRPr="00326698" w:rsidRDefault="00F553CF">
      <w:pPr>
        <w:pStyle w:val="Heading1"/>
        <w:ind w:left="28"/>
      </w:pPr>
      <w:r w:rsidRPr="00326698">
        <w:t>3.0 Planning History</w:t>
      </w:r>
    </w:p>
    <w:p w:rsidR="0007659D" w:rsidRPr="00326698" w:rsidRDefault="00BE2403" w:rsidP="0007659D">
      <w:pPr>
        <w:spacing w:after="160" w:line="256" w:lineRule="auto"/>
        <w:ind w:left="0" w:firstLine="0"/>
        <w:rPr>
          <w:rFonts w:eastAsiaTheme="minorHAnsi"/>
          <w:color w:val="auto"/>
          <w:lang w:eastAsia="en-US"/>
        </w:rPr>
      </w:pPr>
      <w:r w:rsidRPr="00326698">
        <w:rPr>
          <w:rFonts w:eastAsiaTheme="minorHAnsi"/>
          <w:color w:val="auto"/>
          <w:lang w:eastAsia="en-US"/>
        </w:rPr>
        <w:t xml:space="preserve">3.1 </w:t>
      </w:r>
      <w:r w:rsidR="0007659D" w:rsidRPr="00326698">
        <w:rPr>
          <w:rFonts w:eastAsiaTheme="minorHAnsi"/>
          <w:color w:val="auto"/>
          <w:lang w:eastAsia="en-US"/>
        </w:rPr>
        <w:t xml:space="preserve">The site forms part of a wider allocation and is identified within the South Ribble Local Plan 2015 as subject to Policy D1 which allocates sites for new housing and is referenced as Site “P” land between </w:t>
      </w:r>
      <w:proofErr w:type="spellStart"/>
      <w:r w:rsidR="0007659D" w:rsidRPr="00326698">
        <w:rPr>
          <w:rFonts w:eastAsiaTheme="minorHAnsi"/>
          <w:color w:val="auto"/>
          <w:lang w:eastAsia="en-US"/>
        </w:rPr>
        <w:t>Altcar</w:t>
      </w:r>
      <w:proofErr w:type="spellEnd"/>
      <w:r w:rsidR="0007659D" w:rsidRPr="00326698">
        <w:rPr>
          <w:rFonts w:eastAsiaTheme="minorHAnsi"/>
          <w:color w:val="auto"/>
          <w:lang w:eastAsia="en-US"/>
        </w:rPr>
        <w:t xml:space="preserve"> Lane/Shaw Brook Road, Leyland. </w:t>
      </w:r>
    </w:p>
    <w:p w:rsidR="0007659D" w:rsidRPr="00326698" w:rsidRDefault="00BE2403" w:rsidP="0007659D">
      <w:pPr>
        <w:spacing w:after="160" w:line="256" w:lineRule="auto"/>
        <w:ind w:left="0" w:firstLine="0"/>
        <w:rPr>
          <w:rFonts w:eastAsiaTheme="minorHAnsi"/>
          <w:color w:val="auto"/>
          <w:lang w:eastAsia="en-US"/>
        </w:rPr>
      </w:pPr>
      <w:r w:rsidRPr="00326698">
        <w:rPr>
          <w:rFonts w:eastAsiaTheme="minorHAnsi"/>
          <w:color w:val="auto"/>
          <w:lang w:eastAsia="en-US"/>
        </w:rPr>
        <w:t xml:space="preserve">3.2 </w:t>
      </w:r>
      <w:r w:rsidR="0007659D" w:rsidRPr="00326698">
        <w:rPr>
          <w:rFonts w:eastAsiaTheme="minorHAnsi"/>
          <w:color w:val="auto"/>
          <w:lang w:eastAsia="en-US"/>
        </w:rPr>
        <w:t xml:space="preserve">A Masterplan was prepared jointly with the Homes and Community Agency (HCA) and </w:t>
      </w:r>
      <w:proofErr w:type="spellStart"/>
      <w:r w:rsidR="0007659D" w:rsidRPr="00326698">
        <w:rPr>
          <w:rFonts w:eastAsiaTheme="minorHAnsi"/>
          <w:color w:val="auto"/>
          <w:lang w:eastAsia="en-US"/>
        </w:rPr>
        <w:t>Redrow</w:t>
      </w:r>
      <w:proofErr w:type="spellEnd"/>
      <w:r w:rsidR="0007659D" w:rsidRPr="00326698">
        <w:rPr>
          <w:rFonts w:eastAsiaTheme="minorHAnsi"/>
          <w:color w:val="auto"/>
          <w:lang w:eastAsia="en-US"/>
        </w:rPr>
        <w:t xml:space="preserve"> Homes, and approved in March 2016 for Development Management Purposes.</w:t>
      </w:r>
    </w:p>
    <w:p w:rsidR="0007659D" w:rsidRPr="00326698" w:rsidRDefault="00BE2403" w:rsidP="0007659D">
      <w:pPr>
        <w:spacing w:after="160" w:line="256" w:lineRule="auto"/>
        <w:ind w:left="0" w:firstLine="0"/>
        <w:rPr>
          <w:rFonts w:eastAsiaTheme="minorHAnsi"/>
          <w:color w:val="auto"/>
          <w:lang w:eastAsia="en-US"/>
        </w:rPr>
      </w:pPr>
      <w:r w:rsidRPr="00326698">
        <w:rPr>
          <w:rFonts w:eastAsiaTheme="minorHAnsi"/>
          <w:color w:val="auto"/>
          <w:lang w:eastAsia="en-US"/>
        </w:rPr>
        <w:t xml:space="preserve">3.3 </w:t>
      </w:r>
      <w:r w:rsidR="0007659D" w:rsidRPr="00326698">
        <w:rPr>
          <w:rFonts w:eastAsiaTheme="minorHAnsi"/>
          <w:color w:val="auto"/>
          <w:lang w:eastAsia="en-US"/>
        </w:rPr>
        <w:t xml:space="preserve">Two outline planning applications have been approved for the site and are both the subject of separate Section 106 agreements. </w:t>
      </w:r>
    </w:p>
    <w:p w:rsidR="0007659D" w:rsidRPr="00326698" w:rsidRDefault="00BE2403" w:rsidP="0007659D">
      <w:pPr>
        <w:spacing w:after="160" w:line="256" w:lineRule="auto"/>
        <w:ind w:left="0" w:firstLine="0"/>
        <w:rPr>
          <w:rFonts w:eastAsia="Times New Roman"/>
          <w:color w:val="auto"/>
        </w:rPr>
      </w:pPr>
      <w:r w:rsidRPr="00326698">
        <w:rPr>
          <w:rFonts w:eastAsiaTheme="minorHAnsi"/>
          <w:b/>
          <w:color w:val="auto"/>
          <w:lang w:eastAsia="en-US"/>
        </w:rPr>
        <w:t xml:space="preserve">3.4 </w:t>
      </w:r>
      <w:r w:rsidR="0007659D" w:rsidRPr="00326698">
        <w:rPr>
          <w:rFonts w:eastAsiaTheme="minorHAnsi"/>
          <w:color w:val="auto"/>
          <w:lang w:eastAsia="en-US"/>
        </w:rPr>
        <w:t>HCA Site</w:t>
      </w:r>
      <w:r w:rsidRPr="00326698">
        <w:rPr>
          <w:rFonts w:eastAsiaTheme="minorHAnsi"/>
          <w:color w:val="auto"/>
          <w:lang w:eastAsia="en-US"/>
        </w:rPr>
        <w:t xml:space="preserve">: </w:t>
      </w:r>
      <w:r w:rsidRPr="00326698">
        <w:rPr>
          <w:rFonts w:eastAsiaTheme="minorHAnsi"/>
          <w:b/>
          <w:color w:val="auto"/>
          <w:lang w:eastAsia="en-US"/>
        </w:rPr>
        <w:t xml:space="preserve"> </w:t>
      </w:r>
      <w:r w:rsidR="0007659D" w:rsidRPr="00326698">
        <w:rPr>
          <w:rFonts w:eastAsia="Times New Roman"/>
          <w:bCs/>
          <w:color w:val="auto"/>
          <w:bdr w:val="none" w:sz="0" w:space="0" w:color="auto" w:frame="1"/>
        </w:rPr>
        <w:t xml:space="preserve">07/2016/0310/OUT - </w:t>
      </w:r>
      <w:r w:rsidR="0007659D" w:rsidRPr="00326698">
        <w:rPr>
          <w:rFonts w:eastAsia="Times New Roman"/>
          <w:color w:val="auto"/>
        </w:rPr>
        <w:t>Outline application for a residential development (</w:t>
      </w:r>
      <w:proofErr w:type="spellStart"/>
      <w:r w:rsidR="0007659D" w:rsidRPr="00326698">
        <w:rPr>
          <w:rFonts w:eastAsia="Times New Roman"/>
          <w:color w:val="auto"/>
        </w:rPr>
        <w:t>approx</w:t>
      </w:r>
      <w:proofErr w:type="spellEnd"/>
      <w:r w:rsidR="0007659D" w:rsidRPr="00326698">
        <w:rPr>
          <w:rFonts w:eastAsia="Times New Roman"/>
          <w:color w:val="auto"/>
        </w:rPr>
        <w:t xml:space="preserve"> 200 dwellings) with access off Leyland Lane (Access applied for) </w:t>
      </w:r>
      <w:r w:rsidR="0007659D" w:rsidRPr="00326698">
        <w:rPr>
          <w:rFonts w:eastAsia="Times New Roman"/>
          <w:bCs/>
          <w:color w:val="auto"/>
          <w:bdr w:val="none" w:sz="0" w:space="0" w:color="auto" w:frame="1"/>
        </w:rPr>
        <w:t xml:space="preserve">- Land North of </w:t>
      </w:r>
      <w:proofErr w:type="spellStart"/>
      <w:r w:rsidR="0007659D" w:rsidRPr="00326698">
        <w:rPr>
          <w:rFonts w:eastAsia="Times New Roman"/>
          <w:bCs/>
          <w:color w:val="auto"/>
          <w:bdr w:val="none" w:sz="0" w:space="0" w:color="auto" w:frame="1"/>
        </w:rPr>
        <w:t>Altcar</w:t>
      </w:r>
      <w:proofErr w:type="spellEnd"/>
      <w:r w:rsidR="0007659D" w:rsidRPr="00326698">
        <w:rPr>
          <w:rFonts w:eastAsia="Times New Roman"/>
          <w:bCs/>
          <w:color w:val="auto"/>
          <w:bdr w:val="none" w:sz="0" w:space="0" w:color="auto" w:frame="1"/>
        </w:rPr>
        <w:t xml:space="preserve"> Lane, Leyland. </w:t>
      </w:r>
      <w:r w:rsidR="0007659D" w:rsidRPr="00326698">
        <w:rPr>
          <w:rFonts w:eastAsia="Times New Roman"/>
          <w:color w:val="auto"/>
        </w:rPr>
        <w:t xml:space="preserve">Approved February 2017. </w:t>
      </w:r>
    </w:p>
    <w:p w:rsidR="00BE2403" w:rsidRPr="00326698" w:rsidRDefault="00BE2403" w:rsidP="0007659D">
      <w:pPr>
        <w:spacing w:after="160" w:line="256" w:lineRule="auto"/>
        <w:ind w:left="0" w:firstLine="0"/>
        <w:rPr>
          <w:rFonts w:eastAsia="Times New Roman"/>
          <w:b/>
          <w:color w:val="auto"/>
          <w:u w:val="single"/>
        </w:rPr>
      </w:pPr>
      <w:r w:rsidRPr="00326698">
        <w:rPr>
          <w:rFonts w:eastAsia="Times New Roman"/>
          <w:b/>
          <w:color w:val="auto"/>
          <w:u w:val="single"/>
        </w:rPr>
        <w:t xml:space="preserve">4.0 Proposal </w:t>
      </w:r>
    </w:p>
    <w:p w:rsidR="0007659D" w:rsidRPr="00326698" w:rsidRDefault="00BE2403" w:rsidP="0007659D">
      <w:pPr>
        <w:spacing w:after="0" w:line="240" w:lineRule="auto"/>
        <w:ind w:left="0" w:firstLine="0"/>
        <w:rPr>
          <w:rFonts w:eastAsia="Times New Roman"/>
          <w:color w:val="auto"/>
          <w:lang w:val="en" w:eastAsia="en-US"/>
        </w:rPr>
      </w:pPr>
      <w:r w:rsidRPr="00326698">
        <w:rPr>
          <w:rFonts w:eastAsia="Times New Roman"/>
          <w:color w:val="auto"/>
          <w:lang w:eastAsia="en-US"/>
        </w:rPr>
        <w:t xml:space="preserve">4.1 </w:t>
      </w:r>
      <w:r w:rsidR="0007659D" w:rsidRPr="00326698">
        <w:rPr>
          <w:rFonts w:eastAsia="Times New Roman"/>
          <w:color w:val="auto"/>
          <w:lang w:eastAsia="en-US"/>
        </w:rPr>
        <w:t xml:space="preserve">Planning permission has been granted for 200 units on land to the north of </w:t>
      </w:r>
      <w:proofErr w:type="spellStart"/>
      <w:r w:rsidR="0007659D" w:rsidRPr="00326698">
        <w:rPr>
          <w:rFonts w:eastAsia="Times New Roman"/>
          <w:color w:val="auto"/>
          <w:lang w:eastAsia="en-US"/>
        </w:rPr>
        <w:t>Altcar</w:t>
      </w:r>
      <w:proofErr w:type="spellEnd"/>
      <w:r w:rsidR="0007659D" w:rsidRPr="00326698">
        <w:rPr>
          <w:rFonts w:eastAsia="Times New Roman"/>
          <w:color w:val="auto"/>
          <w:lang w:eastAsia="en-US"/>
        </w:rPr>
        <w:t xml:space="preserve"> Lane. The planning committee report advised that the site would deliver an increased amount of affordable provision 40% instead of 30% through the </w:t>
      </w:r>
      <w:r w:rsidR="000E506C" w:rsidRPr="00326698">
        <w:rPr>
          <w:rFonts w:eastAsia="Times New Roman"/>
          <w:color w:val="auto"/>
          <w:lang w:val="en" w:eastAsia="en-US"/>
        </w:rPr>
        <w:t>Starter H</w:t>
      </w:r>
      <w:r w:rsidR="00D80FE1" w:rsidRPr="00326698">
        <w:rPr>
          <w:rFonts w:eastAsia="Times New Roman"/>
          <w:color w:val="auto"/>
          <w:lang w:val="en" w:eastAsia="en-US"/>
        </w:rPr>
        <w:t>omes initiative</w:t>
      </w:r>
      <w:r w:rsidR="0007659D" w:rsidRPr="00326698">
        <w:rPr>
          <w:rFonts w:eastAsia="Times New Roman"/>
          <w:color w:val="auto"/>
          <w:lang w:val="en" w:eastAsia="en-US"/>
        </w:rPr>
        <w:t xml:space="preserve"> </w:t>
      </w:r>
      <w:r w:rsidR="000E506C" w:rsidRPr="00326698">
        <w:rPr>
          <w:rFonts w:eastAsia="Times New Roman"/>
          <w:color w:val="auto"/>
          <w:lang w:val="en" w:eastAsia="en-US"/>
        </w:rPr>
        <w:t xml:space="preserve">as </w:t>
      </w:r>
      <w:r w:rsidR="0007659D" w:rsidRPr="00326698">
        <w:rPr>
          <w:rFonts w:eastAsia="Times New Roman"/>
          <w:color w:val="auto"/>
          <w:lang w:val="en" w:eastAsia="en-US"/>
        </w:rPr>
        <w:t>set out in the Housing and Planning Act 2016. However, this government initiative is no longer due to come forward and on that basis the applicant seeks to amend the Section 106 agreement to reflect this change.</w:t>
      </w:r>
    </w:p>
    <w:p w:rsidR="0007659D" w:rsidRPr="00326698" w:rsidRDefault="0007659D" w:rsidP="0007659D">
      <w:pPr>
        <w:spacing w:after="0" w:line="240" w:lineRule="auto"/>
        <w:ind w:left="0" w:firstLine="0"/>
        <w:rPr>
          <w:rFonts w:eastAsia="Times New Roman"/>
          <w:color w:val="auto"/>
          <w:lang w:val="en" w:eastAsia="en-US"/>
        </w:rPr>
      </w:pPr>
    </w:p>
    <w:p w:rsidR="0007659D" w:rsidRPr="00326698" w:rsidRDefault="00AC1EED" w:rsidP="0007659D">
      <w:pPr>
        <w:spacing w:after="0" w:line="240" w:lineRule="auto"/>
        <w:ind w:left="0" w:firstLine="0"/>
        <w:rPr>
          <w:rFonts w:eastAsia="Times New Roman"/>
          <w:color w:val="auto"/>
          <w:lang w:val="en" w:eastAsia="en-US"/>
        </w:rPr>
      </w:pPr>
      <w:r w:rsidRPr="00326698">
        <w:rPr>
          <w:rFonts w:eastAsia="Times New Roman"/>
          <w:color w:val="auto"/>
          <w:lang w:val="en" w:eastAsia="en-US"/>
        </w:rPr>
        <w:t xml:space="preserve">4.2 </w:t>
      </w:r>
      <w:r w:rsidR="0007659D" w:rsidRPr="00326698">
        <w:rPr>
          <w:rFonts w:eastAsia="Times New Roman"/>
          <w:color w:val="auto"/>
          <w:lang w:val="en" w:eastAsia="en-US"/>
        </w:rPr>
        <w:t>The amendment provides for an affordable housing scheme to be submitted to the Council based upon a total of 30% of affordable housing units to be delivered. The mix is set out below.</w:t>
      </w:r>
    </w:p>
    <w:p w:rsidR="0007659D" w:rsidRPr="00326698" w:rsidRDefault="0007659D" w:rsidP="0007659D">
      <w:pPr>
        <w:spacing w:after="0" w:line="240" w:lineRule="auto"/>
        <w:ind w:left="0" w:firstLine="0"/>
        <w:rPr>
          <w:rFonts w:eastAsia="Times New Roman"/>
          <w:color w:val="auto"/>
          <w:lang w:val="en" w:eastAsia="en-US"/>
        </w:rPr>
      </w:pPr>
    </w:p>
    <w:p w:rsidR="0007659D" w:rsidRPr="00326698" w:rsidRDefault="0007659D" w:rsidP="0007659D">
      <w:pPr>
        <w:tabs>
          <w:tab w:val="left" w:pos="1701"/>
          <w:tab w:val="num" w:pos="1985"/>
        </w:tabs>
        <w:spacing w:after="240" w:line="276" w:lineRule="auto"/>
        <w:ind w:left="0" w:firstLine="0"/>
        <w:jc w:val="both"/>
        <w:rPr>
          <w:color w:val="auto"/>
        </w:rPr>
      </w:pPr>
      <w:r w:rsidRPr="00326698">
        <w:rPr>
          <w:color w:val="auto"/>
        </w:rPr>
        <w:t xml:space="preserve"> (a) 70 % Social Rented Housing Units; and</w:t>
      </w:r>
    </w:p>
    <w:p w:rsidR="0007659D" w:rsidRPr="00326698" w:rsidRDefault="0007659D" w:rsidP="0007659D">
      <w:pPr>
        <w:tabs>
          <w:tab w:val="left" w:pos="1701"/>
          <w:tab w:val="num" w:pos="1985"/>
        </w:tabs>
        <w:spacing w:after="240" w:line="276" w:lineRule="auto"/>
        <w:ind w:left="0" w:firstLine="0"/>
        <w:jc w:val="both"/>
        <w:rPr>
          <w:color w:val="auto"/>
        </w:rPr>
      </w:pPr>
      <w:r w:rsidRPr="00326698">
        <w:rPr>
          <w:color w:val="auto"/>
        </w:rPr>
        <w:t xml:space="preserve"> (b)  30% Shared Ownership Housing Units</w:t>
      </w:r>
    </w:p>
    <w:p w:rsidR="00F07480" w:rsidRPr="00326698" w:rsidRDefault="00F07480">
      <w:pPr>
        <w:spacing w:after="0" w:line="259" w:lineRule="auto"/>
        <w:ind w:left="33" w:firstLine="0"/>
        <w:rPr>
          <w:b/>
        </w:rPr>
      </w:pPr>
      <w:r w:rsidRPr="00326698">
        <w:rPr>
          <w:b/>
        </w:rPr>
        <w:t>5.0 Material Considerations</w:t>
      </w:r>
    </w:p>
    <w:p w:rsidR="0049115C" w:rsidRPr="00326698" w:rsidRDefault="00F07480">
      <w:pPr>
        <w:spacing w:after="0" w:line="259" w:lineRule="auto"/>
        <w:ind w:left="33" w:firstLine="0"/>
        <w:rPr>
          <w:b/>
        </w:rPr>
      </w:pPr>
      <w:r w:rsidRPr="00326698">
        <w:rPr>
          <w:b/>
        </w:rPr>
        <w:t xml:space="preserve">  </w:t>
      </w:r>
      <w:r w:rsidR="00F553CF" w:rsidRPr="00326698">
        <w:rPr>
          <w:b/>
        </w:rPr>
        <w:t xml:space="preserve"> </w:t>
      </w:r>
    </w:p>
    <w:p w:rsidR="00F07480" w:rsidRPr="00326698" w:rsidRDefault="00F07480">
      <w:pPr>
        <w:pStyle w:val="Heading2"/>
        <w:ind w:left="42"/>
      </w:pPr>
      <w:r w:rsidRPr="00326698">
        <w:t xml:space="preserve">5.1 Policy </w:t>
      </w:r>
    </w:p>
    <w:p w:rsidR="0049115C" w:rsidRPr="00326698" w:rsidRDefault="00F553CF">
      <w:pPr>
        <w:pStyle w:val="Heading2"/>
        <w:ind w:left="42"/>
      </w:pPr>
      <w:r w:rsidRPr="00326698">
        <w:t>Central Lancashire Core Strategy</w:t>
      </w:r>
    </w:p>
    <w:p w:rsidR="0049115C" w:rsidRPr="00326698" w:rsidRDefault="00F553CF">
      <w:pPr>
        <w:spacing w:after="0"/>
        <w:ind w:left="42" w:right="21"/>
      </w:pPr>
      <w:r w:rsidRPr="00326698">
        <w:rPr>
          <w:b/>
        </w:rPr>
        <w:t>Policy 1: Locating Growth</w:t>
      </w:r>
      <w:r w:rsidRPr="00326698">
        <w:t xml:space="preserve"> focuses growth and investment on brownfield sites in the main urban areas, whilst protecting the character of suburban and rural areas. </w:t>
      </w:r>
    </w:p>
    <w:p w:rsidR="0049115C" w:rsidRPr="00326698" w:rsidRDefault="00F553CF">
      <w:pPr>
        <w:spacing w:after="0" w:line="259" w:lineRule="auto"/>
        <w:ind w:left="33" w:firstLine="0"/>
      </w:pPr>
      <w:r w:rsidRPr="00326698">
        <w:t xml:space="preserve"> </w:t>
      </w:r>
    </w:p>
    <w:p w:rsidR="0049115C" w:rsidRPr="00326698" w:rsidRDefault="00F553CF">
      <w:pPr>
        <w:ind w:left="42" w:right="21"/>
      </w:pPr>
      <w:r w:rsidRPr="00326698">
        <w:rPr>
          <w:b/>
        </w:rPr>
        <w:t xml:space="preserve">Policy 4: Housing Delivery </w:t>
      </w:r>
      <w:r w:rsidRPr="00326698">
        <w:t>provides for and manages the delivery of new housing.  For South Ribble this amounts to 417 dwelling pa.</w:t>
      </w:r>
    </w:p>
    <w:p w:rsidR="0049115C" w:rsidRPr="00326698" w:rsidRDefault="00F553CF">
      <w:pPr>
        <w:ind w:left="42" w:right="21"/>
      </w:pPr>
      <w:r w:rsidRPr="00326698">
        <w:rPr>
          <w:b/>
        </w:rPr>
        <w:lastRenderedPageBreak/>
        <w:t xml:space="preserve">Policy 7: Affordable Housing </w:t>
      </w:r>
      <w:r w:rsidRPr="00326698">
        <w:t>seeks to ensure sufficient provision of affordable and special housing to meet needs.</w:t>
      </w:r>
    </w:p>
    <w:p w:rsidR="0049115C" w:rsidRPr="00326698" w:rsidRDefault="00F07480">
      <w:pPr>
        <w:pStyle w:val="Heading2"/>
        <w:ind w:left="42"/>
      </w:pPr>
      <w:r w:rsidRPr="00326698">
        <w:t xml:space="preserve">5.2 </w:t>
      </w:r>
      <w:r w:rsidR="00F553CF" w:rsidRPr="00326698">
        <w:t>South Ribble Local Plan 2012-2026</w:t>
      </w:r>
    </w:p>
    <w:p w:rsidR="0049115C" w:rsidRPr="00326698" w:rsidRDefault="00F07480">
      <w:pPr>
        <w:pStyle w:val="Heading2"/>
        <w:spacing w:after="292"/>
        <w:ind w:left="42"/>
      </w:pPr>
      <w:r w:rsidRPr="00326698">
        <w:t xml:space="preserve">5.3 </w:t>
      </w:r>
      <w:r w:rsidR="00F553CF" w:rsidRPr="00326698">
        <w:t>Supplementary Planning Documents</w:t>
      </w:r>
    </w:p>
    <w:p w:rsidR="0049115C" w:rsidRPr="00326698" w:rsidRDefault="00F553CF">
      <w:pPr>
        <w:numPr>
          <w:ilvl w:val="0"/>
          <w:numId w:val="10"/>
        </w:numPr>
        <w:spacing w:after="16"/>
        <w:ind w:right="21" w:hanging="360"/>
      </w:pPr>
      <w:r w:rsidRPr="00326698">
        <w:t>Affordable Housing</w:t>
      </w:r>
    </w:p>
    <w:p w:rsidR="000E27C0" w:rsidRPr="00326698" w:rsidRDefault="000E27C0" w:rsidP="004D0FAE">
      <w:pPr>
        <w:spacing w:after="16"/>
        <w:ind w:left="767" w:right="21" w:firstLine="0"/>
      </w:pPr>
    </w:p>
    <w:p w:rsidR="00F07480" w:rsidRPr="00326698" w:rsidRDefault="00F07480" w:rsidP="00F07480">
      <w:pPr>
        <w:pStyle w:val="Heading3"/>
        <w:ind w:left="0" w:firstLine="0"/>
      </w:pPr>
      <w:r w:rsidRPr="00326698">
        <w:t xml:space="preserve">6.0 Other Material </w:t>
      </w:r>
      <w:r w:rsidR="000E27C0" w:rsidRPr="00326698">
        <w:t>Considerations</w:t>
      </w:r>
      <w:r w:rsidRPr="00326698">
        <w:t xml:space="preserve"> </w:t>
      </w:r>
    </w:p>
    <w:p w:rsidR="0049115C" w:rsidRPr="00326698" w:rsidRDefault="00326698">
      <w:pPr>
        <w:pStyle w:val="Heading3"/>
        <w:ind w:left="42"/>
      </w:pPr>
      <w:r>
        <w:t xml:space="preserve">6.1 </w:t>
      </w:r>
      <w:r w:rsidR="00F553CF" w:rsidRPr="00326698">
        <w:t xml:space="preserve">Affordable Housing </w:t>
      </w:r>
    </w:p>
    <w:p w:rsidR="00326698" w:rsidRPr="00E500ED" w:rsidRDefault="00845FDC" w:rsidP="00845FDC">
      <w:pPr>
        <w:pStyle w:val="NormalWeb"/>
        <w:shd w:val="clear" w:color="auto" w:fill="FFFFFF"/>
        <w:rPr>
          <w:rFonts w:ascii="Arial" w:hAnsi="Arial" w:cs="Arial"/>
          <w:sz w:val="22"/>
          <w:szCs w:val="22"/>
          <w:lang w:val="en"/>
        </w:rPr>
      </w:pPr>
      <w:r w:rsidRPr="00E500ED">
        <w:rPr>
          <w:rFonts w:ascii="Arial" w:hAnsi="Arial" w:cs="Arial"/>
          <w:sz w:val="22"/>
          <w:szCs w:val="22"/>
          <w:lang w:val="en"/>
        </w:rPr>
        <w:t>The Housing and Planning Act 2016 provided the statutory framework for the delivery of starter homes, with the aim to make new build houses available to first time buyers under 40 at a discount of at least 20 per cent of full market value.</w:t>
      </w:r>
      <w:r w:rsidRPr="00E500ED">
        <w:rPr>
          <w:rFonts w:ascii="Arial" w:hAnsi="Arial" w:cs="Arial"/>
          <w:sz w:val="22"/>
          <w:szCs w:val="22"/>
          <w:lang w:val="en"/>
        </w:rPr>
        <w:t xml:space="preserve"> </w:t>
      </w:r>
    </w:p>
    <w:p w:rsidR="00845FDC" w:rsidRPr="00E500ED" w:rsidRDefault="00326698" w:rsidP="00845FDC">
      <w:pPr>
        <w:pStyle w:val="NormalWeb"/>
        <w:shd w:val="clear" w:color="auto" w:fill="FFFFFF"/>
        <w:rPr>
          <w:rFonts w:ascii="Arial" w:hAnsi="Arial" w:cs="Arial"/>
          <w:sz w:val="22"/>
          <w:szCs w:val="22"/>
          <w:lang w:val="en"/>
        </w:rPr>
      </w:pPr>
      <w:r w:rsidRPr="00E500ED">
        <w:rPr>
          <w:rStyle w:val="Emphasis"/>
          <w:rFonts w:ascii="Arial" w:eastAsia="Arial" w:hAnsi="Arial" w:cs="Arial"/>
          <w:color w:val="333333"/>
          <w:sz w:val="22"/>
          <w:szCs w:val="22"/>
          <w:lang w:val="en"/>
        </w:rPr>
        <w:t xml:space="preserve">A document entitled </w:t>
      </w:r>
      <w:r w:rsidRPr="00E500ED">
        <w:rPr>
          <w:rStyle w:val="Emphasis"/>
          <w:rFonts w:ascii="Arial" w:eastAsia="Arial" w:hAnsi="Arial" w:cs="Arial"/>
          <w:color w:val="333333"/>
          <w:sz w:val="22"/>
          <w:szCs w:val="22"/>
          <w:lang w:val="en"/>
        </w:rPr>
        <w:t>Starter Homes Regulations: Technical Consultation</w:t>
      </w:r>
      <w:r w:rsidRPr="00E500ED">
        <w:rPr>
          <w:rFonts w:ascii="Arial" w:hAnsi="Arial" w:cs="Arial"/>
          <w:color w:val="333333"/>
          <w:sz w:val="22"/>
          <w:szCs w:val="22"/>
          <w:lang w:val="en"/>
        </w:rPr>
        <w:t xml:space="preserve"> sought views on</w:t>
      </w:r>
      <w:r w:rsidRPr="00E500ED">
        <w:rPr>
          <w:rFonts w:ascii="Arial" w:hAnsi="Arial" w:cs="Arial"/>
          <w:color w:val="333333"/>
          <w:sz w:val="22"/>
          <w:szCs w:val="22"/>
          <w:lang w:val="en"/>
        </w:rPr>
        <w:t xml:space="preserve"> the details of the regulations which raised a number of concerns. </w:t>
      </w:r>
      <w:r w:rsidR="00845FDC" w:rsidRPr="00E500ED">
        <w:rPr>
          <w:rFonts w:ascii="Arial" w:hAnsi="Arial" w:cs="Arial"/>
          <w:sz w:val="22"/>
          <w:szCs w:val="22"/>
          <w:lang w:val="en"/>
        </w:rPr>
        <w:t xml:space="preserve">Specific concerns were raised about the </w:t>
      </w:r>
      <w:r w:rsidR="00845FDC" w:rsidRPr="00E500ED">
        <w:rPr>
          <w:rFonts w:ascii="Arial" w:hAnsi="Arial" w:cs="Arial"/>
          <w:sz w:val="22"/>
          <w:szCs w:val="22"/>
          <w:lang w:val="en"/>
        </w:rPr>
        <w:t>ma</w:t>
      </w:r>
      <w:r w:rsidR="00845FDC" w:rsidRPr="00E500ED">
        <w:rPr>
          <w:rFonts w:ascii="Arial" w:hAnsi="Arial" w:cs="Arial"/>
          <w:sz w:val="22"/>
          <w:szCs w:val="22"/>
          <w:lang w:val="en"/>
        </w:rPr>
        <w:t xml:space="preserve">ndatory 20 per cent requirement which </w:t>
      </w:r>
      <w:r w:rsidR="00845FDC" w:rsidRPr="00E500ED">
        <w:rPr>
          <w:rFonts w:ascii="Arial" w:hAnsi="Arial" w:cs="Arial"/>
          <w:sz w:val="22"/>
          <w:szCs w:val="22"/>
          <w:lang w:val="en"/>
        </w:rPr>
        <w:t>would have displaced most of the developer contributions for traditio</w:t>
      </w:r>
      <w:r w:rsidR="00845FDC" w:rsidRPr="00E500ED">
        <w:rPr>
          <w:rFonts w:ascii="Arial" w:hAnsi="Arial" w:cs="Arial"/>
          <w:sz w:val="22"/>
          <w:szCs w:val="22"/>
          <w:lang w:val="en"/>
        </w:rPr>
        <w:t xml:space="preserve">nal forms of affordable housing. </w:t>
      </w:r>
      <w:r w:rsidR="00295EE3" w:rsidRPr="00E500ED">
        <w:rPr>
          <w:rFonts w:ascii="Arial" w:hAnsi="Arial" w:cs="Arial"/>
          <w:sz w:val="22"/>
          <w:szCs w:val="22"/>
          <w:lang w:val="en"/>
        </w:rPr>
        <w:t xml:space="preserve">The Government has listened to these concerns and further consultation and changes may come forward.  </w:t>
      </w:r>
    </w:p>
    <w:p w:rsidR="00845FDC" w:rsidRPr="00E500ED" w:rsidRDefault="00845FDC" w:rsidP="00845FDC">
      <w:pPr>
        <w:pStyle w:val="NormalWeb"/>
        <w:shd w:val="clear" w:color="auto" w:fill="FFFFFF"/>
        <w:rPr>
          <w:rFonts w:ascii="Arial" w:hAnsi="Arial" w:cs="Arial"/>
          <w:sz w:val="22"/>
          <w:szCs w:val="22"/>
          <w:lang w:val="en"/>
        </w:rPr>
      </w:pPr>
      <w:r w:rsidRPr="00E500ED">
        <w:rPr>
          <w:rFonts w:ascii="Arial" w:hAnsi="Arial" w:cs="Arial"/>
          <w:sz w:val="22"/>
          <w:szCs w:val="22"/>
          <w:lang w:val="en"/>
        </w:rPr>
        <w:t xml:space="preserve">Therefore, the Homes and Community Agency can no longer deliver the Starter Homes </w:t>
      </w:r>
      <w:r w:rsidR="00285286" w:rsidRPr="00E500ED">
        <w:rPr>
          <w:rFonts w:ascii="Arial" w:hAnsi="Arial" w:cs="Arial"/>
          <w:sz w:val="22"/>
          <w:szCs w:val="22"/>
          <w:lang w:val="en"/>
        </w:rPr>
        <w:t xml:space="preserve">as originally envisaged </w:t>
      </w:r>
      <w:r w:rsidRPr="00E500ED">
        <w:rPr>
          <w:rFonts w:ascii="Arial" w:hAnsi="Arial" w:cs="Arial"/>
          <w:sz w:val="22"/>
          <w:szCs w:val="22"/>
          <w:lang w:val="en"/>
        </w:rPr>
        <w:t>and seek a variation to the Section 106 Agreement so that there revised proposals</w:t>
      </w:r>
      <w:bookmarkStart w:id="0" w:name="_GoBack"/>
      <w:bookmarkEnd w:id="0"/>
      <w:r w:rsidRPr="00E500ED">
        <w:rPr>
          <w:rFonts w:ascii="Arial" w:hAnsi="Arial" w:cs="Arial"/>
          <w:sz w:val="22"/>
          <w:szCs w:val="22"/>
          <w:lang w:val="en"/>
        </w:rPr>
        <w:t xml:space="preserve"> are</w:t>
      </w:r>
      <w:r w:rsidR="00285286" w:rsidRPr="00E500ED">
        <w:rPr>
          <w:rFonts w:ascii="Arial" w:hAnsi="Arial" w:cs="Arial"/>
          <w:sz w:val="22"/>
          <w:szCs w:val="22"/>
          <w:lang w:val="en"/>
        </w:rPr>
        <w:t xml:space="preserve"> compliant with</w:t>
      </w:r>
      <w:r w:rsidRPr="00E500ED">
        <w:rPr>
          <w:rFonts w:ascii="Arial" w:hAnsi="Arial" w:cs="Arial"/>
          <w:sz w:val="22"/>
          <w:szCs w:val="22"/>
          <w:lang w:val="en"/>
        </w:rPr>
        <w:t xml:space="preserve"> the Council’s </w:t>
      </w:r>
      <w:r w:rsidR="00E500ED" w:rsidRPr="00E500ED">
        <w:rPr>
          <w:rFonts w:ascii="Arial" w:hAnsi="Arial" w:cs="Arial"/>
          <w:sz w:val="22"/>
          <w:szCs w:val="22"/>
          <w:lang w:val="en"/>
        </w:rPr>
        <w:t xml:space="preserve">affordable housing policies. </w:t>
      </w:r>
      <w:r w:rsidRPr="00E500ED">
        <w:rPr>
          <w:rFonts w:ascii="Arial" w:hAnsi="Arial" w:cs="Arial"/>
          <w:sz w:val="22"/>
          <w:szCs w:val="22"/>
          <w:lang w:val="en"/>
        </w:rPr>
        <w:t xml:space="preserve"> </w:t>
      </w:r>
    </w:p>
    <w:p w:rsidR="0049115C" w:rsidRPr="00326698" w:rsidRDefault="00F553CF">
      <w:pPr>
        <w:ind w:left="42" w:right="21"/>
      </w:pPr>
      <w:r w:rsidRPr="00326698">
        <w:t xml:space="preserve">Policy 7 of the Core Strategy is entitled Affordable Housing and states that a target of 30% affordable housing provision is to be sought on new housing schemes on urban sites. </w:t>
      </w:r>
    </w:p>
    <w:p w:rsidR="0049115C" w:rsidRPr="00326698" w:rsidRDefault="00F553CF">
      <w:pPr>
        <w:ind w:left="42" w:right="21"/>
      </w:pPr>
      <w:r w:rsidRPr="00326698">
        <w:t>The Central Lancashire Affordable Housing SPD at paragraph 9 states that “The definition of affordable Housing Affordable is set out in annex 2 of the National Planning Policy Framework. It includes Social Rented, Affordable Rented and Intermediate housing provided to eligible households whose needs are not met by the market.”</w:t>
      </w:r>
    </w:p>
    <w:p w:rsidR="00C40BB0" w:rsidRPr="00326698" w:rsidRDefault="00C40BB0" w:rsidP="00C40BB0">
      <w:pPr>
        <w:pStyle w:val="NoSpacing"/>
        <w:rPr>
          <w:rFonts w:ascii="Arial" w:hAnsi="Arial" w:cs="Arial"/>
        </w:rPr>
      </w:pPr>
      <w:r w:rsidRPr="00326698">
        <w:rPr>
          <w:rFonts w:ascii="Arial" w:eastAsia="Times New Roman" w:hAnsi="Arial" w:cs="Arial"/>
        </w:rPr>
        <w:t xml:space="preserve">Consultation has taken place with the Strategic Housing Team who has advised that </w:t>
      </w:r>
      <w:r w:rsidRPr="00326698">
        <w:rPr>
          <w:rFonts w:ascii="Arial" w:hAnsi="Arial" w:cs="Arial"/>
        </w:rPr>
        <w:t>30% affordable housing to be provided on-site would meet policy requirements (Policy 7 of the Central Lancashire Core Strategy).</w:t>
      </w:r>
    </w:p>
    <w:p w:rsidR="00C40BB0" w:rsidRPr="00326698" w:rsidRDefault="00C40BB0" w:rsidP="00C40BB0">
      <w:pPr>
        <w:spacing w:after="0" w:line="240" w:lineRule="auto"/>
        <w:ind w:left="0" w:firstLine="0"/>
        <w:rPr>
          <w:rFonts w:eastAsia="Times New Roman"/>
          <w:color w:val="auto"/>
          <w:lang w:eastAsia="en-US"/>
        </w:rPr>
      </w:pPr>
    </w:p>
    <w:p w:rsidR="0049115C" w:rsidRPr="00326698" w:rsidRDefault="00C40BB0">
      <w:pPr>
        <w:ind w:left="42" w:right="21"/>
      </w:pPr>
      <w:r w:rsidRPr="00326698">
        <w:t xml:space="preserve">The proposed change would support affordable home ownership in Leyland and therefore </w:t>
      </w:r>
      <w:proofErr w:type="gramStart"/>
      <w:r w:rsidRPr="00326698">
        <w:t xml:space="preserve">the </w:t>
      </w:r>
      <w:r w:rsidR="00F553CF" w:rsidRPr="00326698">
        <w:t xml:space="preserve"> </w:t>
      </w:r>
      <w:r w:rsidR="00F07480" w:rsidRPr="00326698">
        <w:t>amendment</w:t>
      </w:r>
      <w:proofErr w:type="gramEnd"/>
      <w:r w:rsidR="00F07480" w:rsidRPr="00326698">
        <w:t xml:space="preserve"> proposed by the Deed of Variation is considered Policy Compliant</w:t>
      </w:r>
      <w:r w:rsidRPr="00326698">
        <w:t xml:space="preserve"> and</w:t>
      </w:r>
      <w:r w:rsidR="00F07480" w:rsidRPr="00326698">
        <w:t xml:space="preserve"> acceptable.  </w:t>
      </w:r>
    </w:p>
    <w:p w:rsidR="0049115C" w:rsidRPr="00326698" w:rsidRDefault="00F07480">
      <w:pPr>
        <w:pStyle w:val="Heading2"/>
        <w:spacing w:after="233"/>
        <w:ind w:left="28"/>
      </w:pPr>
      <w:r w:rsidRPr="00326698">
        <w:rPr>
          <w:u w:val="single" w:color="000000"/>
        </w:rPr>
        <w:t>7</w:t>
      </w:r>
      <w:r w:rsidR="00F553CF" w:rsidRPr="00326698">
        <w:rPr>
          <w:u w:val="single" w:color="000000"/>
        </w:rPr>
        <w:t>.0 CONCLUSION</w:t>
      </w:r>
    </w:p>
    <w:p w:rsidR="00F07480" w:rsidRPr="00326698" w:rsidRDefault="00F553CF">
      <w:pPr>
        <w:ind w:left="42" w:right="21"/>
      </w:pPr>
      <w:r w:rsidRPr="00326698">
        <w:t>The delivery of this site for residential development supports the aims and objectives of the Lancashire, Preston and South Ribble City Deal.</w:t>
      </w:r>
      <w:r w:rsidR="00F07480" w:rsidRPr="00326698">
        <w:t xml:space="preserve"> The proposed Deed of Variation which would provide for 30% of the residential units to be affordable is acceptable. </w:t>
      </w:r>
    </w:p>
    <w:p w:rsidR="0049115C" w:rsidRPr="00326698" w:rsidRDefault="00BB15CC">
      <w:pPr>
        <w:pStyle w:val="Heading2"/>
        <w:spacing w:after="233"/>
        <w:ind w:left="28"/>
      </w:pPr>
      <w:r w:rsidRPr="00326698">
        <w:rPr>
          <w:u w:val="single" w:color="000000"/>
        </w:rPr>
        <w:t>8.0 RECOMMENDATION</w:t>
      </w:r>
    </w:p>
    <w:p w:rsidR="0049115C" w:rsidRPr="00326698" w:rsidRDefault="00F553CF" w:rsidP="00F07480">
      <w:pPr>
        <w:ind w:left="42" w:right="21"/>
      </w:pPr>
      <w:r w:rsidRPr="00326698">
        <w:t xml:space="preserve">That Members </w:t>
      </w:r>
      <w:r w:rsidR="00C67843" w:rsidRPr="00326698">
        <w:t>note the report</w:t>
      </w:r>
      <w:r w:rsidR="00116124" w:rsidRPr="00326698">
        <w:t xml:space="preserve"> and be minded to support</w:t>
      </w:r>
      <w:r w:rsidRPr="00326698">
        <w:t xml:space="preserve"> the </w:t>
      </w:r>
      <w:r w:rsidR="00F3667E" w:rsidRPr="00326698">
        <w:t xml:space="preserve">changes associated with the delivery of 30% affordable housing units to the </w:t>
      </w:r>
      <w:r w:rsidR="00F07480" w:rsidRPr="00326698">
        <w:t>Deed of Variation</w:t>
      </w:r>
      <w:r w:rsidRPr="00326698">
        <w:t xml:space="preserve"> and that the decision be delegated to the Planning Manager in consultation with the Chair and Vice-Chair of the Planning Committee upo</w:t>
      </w:r>
      <w:r w:rsidR="00F07480" w:rsidRPr="00326698">
        <w:t xml:space="preserve">n the successful completion of </w:t>
      </w:r>
      <w:r w:rsidR="00F3667E" w:rsidRPr="00326698">
        <w:t xml:space="preserve">the </w:t>
      </w:r>
      <w:r w:rsidR="00F07480" w:rsidRPr="00326698">
        <w:t>details within the Deed of Variation</w:t>
      </w:r>
      <w:r w:rsidR="001D34E8" w:rsidRPr="00326698">
        <w:t>.</w:t>
      </w:r>
      <w:r w:rsidR="00F07480" w:rsidRPr="00326698">
        <w:t xml:space="preserve"> </w:t>
      </w:r>
    </w:p>
    <w:p w:rsidR="00326698" w:rsidRPr="00326698" w:rsidRDefault="00326698">
      <w:pPr>
        <w:ind w:left="42" w:right="21"/>
      </w:pPr>
    </w:p>
    <w:sectPr w:rsidR="00326698" w:rsidRPr="00326698">
      <w:footerReference w:type="even" r:id="rId8"/>
      <w:footerReference w:type="default" r:id="rId9"/>
      <w:footerReference w:type="first" r:id="rId10"/>
      <w:pgSz w:w="11900" w:h="16840"/>
      <w:pgMar w:top="1001" w:right="1112" w:bottom="1127" w:left="1373" w:header="720"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70" w:rsidRDefault="00123570">
      <w:pPr>
        <w:spacing w:after="0" w:line="240" w:lineRule="auto"/>
      </w:pPr>
      <w:r>
        <w:separator/>
      </w:r>
    </w:p>
  </w:endnote>
  <w:endnote w:type="continuationSeparator" w:id="0">
    <w:p w:rsidR="00123570" w:rsidRDefault="0012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70" w:rsidRDefault="00123570">
    <w:pPr>
      <w:spacing w:after="0" w:line="259" w:lineRule="auto"/>
      <w:ind w:left="36"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70" w:rsidRDefault="00123570">
    <w:pPr>
      <w:spacing w:after="0" w:line="259" w:lineRule="auto"/>
      <w:ind w:left="36" w:firstLine="0"/>
      <w:jc w:val="center"/>
    </w:pPr>
    <w:r>
      <w:fldChar w:fldCharType="begin"/>
    </w:r>
    <w:r>
      <w:instrText xml:space="preserve"> PAGE   \* MERGEFORMAT </w:instrText>
    </w:r>
    <w:r>
      <w:fldChar w:fldCharType="separate"/>
    </w:r>
    <w:r w:rsidR="00EB77D6" w:rsidRPr="00EB77D6">
      <w:rPr>
        <w:noProof/>
        <w:sz w:val="24"/>
      </w:rPr>
      <w:t>4</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70" w:rsidRDefault="00123570">
    <w:pPr>
      <w:spacing w:after="0" w:line="259" w:lineRule="auto"/>
      <w:ind w:left="36"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70" w:rsidRDefault="00123570">
      <w:pPr>
        <w:spacing w:after="0" w:line="240" w:lineRule="auto"/>
      </w:pPr>
      <w:r>
        <w:separator/>
      </w:r>
    </w:p>
  </w:footnote>
  <w:footnote w:type="continuationSeparator" w:id="0">
    <w:p w:rsidR="00123570" w:rsidRDefault="00123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896"/>
    <w:multiLevelType w:val="hybridMultilevel"/>
    <w:tmpl w:val="3BCC8080"/>
    <w:lvl w:ilvl="0" w:tplc="47F053AA">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2258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0A406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E28E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2904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CB9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76F05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828F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A4030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212FE"/>
    <w:multiLevelType w:val="hybridMultilevel"/>
    <w:tmpl w:val="B38CB832"/>
    <w:lvl w:ilvl="0" w:tplc="0FE423B2">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447F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04BB9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4ECD1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EBF5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7A2F7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E2F77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5029E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08968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785495"/>
    <w:multiLevelType w:val="hybridMultilevel"/>
    <w:tmpl w:val="437414E0"/>
    <w:lvl w:ilvl="0" w:tplc="2C8C5346">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E0AE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0848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24DB8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45E3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C46B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10C4D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F80BB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22453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9072B3"/>
    <w:multiLevelType w:val="multilevel"/>
    <w:tmpl w:val="24E82CB8"/>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642617"/>
    <w:multiLevelType w:val="hybridMultilevel"/>
    <w:tmpl w:val="F482BAF4"/>
    <w:lvl w:ilvl="0" w:tplc="B052E496">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43442">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FA25F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EA4A54">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8EA1A">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04901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20E224">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25554">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56E124">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C17217"/>
    <w:multiLevelType w:val="hybridMultilevel"/>
    <w:tmpl w:val="5218EC6E"/>
    <w:lvl w:ilvl="0" w:tplc="BD5E4032">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C4525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4C003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2EB3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4DCA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C0191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AA6E3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634E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AF02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20C6E"/>
    <w:multiLevelType w:val="hybridMultilevel"/>
    <w:tmpl w:val="17A69F82"/>
    <w:lvl w:ilvl="0" w:tplc="C524918E">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25C7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C2127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929AA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2E46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921A5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A4045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2682D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AEC08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992E30"/>
    <w:multiLevelType w:val="hybridMultilevel"/>
    <w:tmpl w:val="640815F6"/>
    <w:lvl w:ilvl="0" w:tplc="DECAA60E">
      <w:start w:val="1"/>
      <w:numFmt w:val="decimal"/>
      <w:lvlText w:val="%1."/>
      <w:lvlJc w:val="left"/>
      <w:pPr>
        <w:ind w:left="1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4916E">
      <w:start w:val="1"/>
      <w:numFmt w:val="lowerLetter"/>
      <w:lvlText w:val="%2"/>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2071E4">
      <w:start w:val="1"/>
      <w:numFmt w:val="lowerRoman"/>
      <w:lvlText w:val="%3"/>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86AB42">
      <w:start w:val="1"/>
      <w:numFmt w:val="decimal"/>
      <w:lvlText w:val="%4"/>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4914A">
      <w:start w:val="1"/>
      <w:numFmt w:val="lowerLetter"/>
      <w:lvlText w:val="%5"/>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CE5A30">
      <w:start w:val="1"/>
      <w:numFmt w:val="lowerRoman"/>
      <w:lvlText w:val="%6"/>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D09C68">
      <w:start w:val="1"/>
      <w:numFmt w:val="decimal"/>
      <w:lvlText w:val="%7"/>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9FF4">
      <w:start w:val="1"/>
      <w:numFmt w:val="lowerLetter"/>
      <w:lvlText w:val="%8"/>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09B0A">
      <w:start w:val="1"/>
      <w:numFmt w:val="lowerRoman"/>
      <w:lvlText w:val="%9"/>
      <w:lvlJc w:val="left"/>
      <w:pPr>
        <w:ind w:left="6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D57573"/>
    <w:multiLevelType w:val="hybridMultilevel"/>
    <w:tmpl w:val="108AC2AE"/>
    <w:lvl w:ilvl="0" w:tplc="341A22DA">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F400F8">
      <w:start w:val="1"/>
      <w:numFmt w:val="bullet"/>
      <w:lvlText w:val="o"/>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420C0A">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2C4A86">
      <w:start w:val="1"/>
      <w:numFmt w:val="bullet"/>
      <w:lvlText w:val="•"/>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5A4938">
      <w:start w:val="1"/>
      <w:numFmt w:val="bullet"/>
      <w:lvlText w:val="o"/>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A7AAE">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04FB88">
      <w:start w:val="1"/>
      <w:numFmt w:val="bullet"/>
      <w:lvlText w:val="•"/>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833AE">
      <w:start w:val="1"/>
      <w:numFmt w:val="bullet"/>
      <w:lvlText w:val="o"/>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BE48EC">
      <w:start w:val="1"/>
      <w:numFmt w:val="bullet"/>
      <w:lvlText w:val="▪"/>
      <w:lvlJc w:val="left"/>
      <w:pPr>
        <w:ind w:left="6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26530F"/>
    <w:multiLevelType w:val="hybridMultilevel"/>
    <w:tmpl w:val="763EA3F0"/>
    <w:lvl w:ilvl="0" w:tplc="CF6E4894">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0EBE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E639A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8C61B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0E133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68DCD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0AFC2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ACE8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20FE7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5449F3"/>
    <w:multiLevelType w:val="hybridMultilevel"/>
    <w:tmpl w:val="58FC1EB2"/>
    <w:lvl w:ilvl="0" w:tplc="DF5AFA20">
      <w:start w:val="1"/>
      <w:numFmt w:val="decimal"/>
      <w:lvlText w:val="%1."/>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2100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7CAC3C">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7AE70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A401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044D8A">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A235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CF00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4A6F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4E1036"/>
    <w:multiLevelType w:val="hybridMultilevel"/>
    <w:tmpl w:val="5A640BFC"/>
    <w:lvl w:ilvl="0" w:tplc="40880048">
      <w:start w:val="1"/>
      <w:numFmt w:val="decimal"/>
      <w:lvlText w:val="%1."/>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43392">
      <w:start w:val="1"/>
      <w:numFmt w:val="lowerLetter"/>
      <w:lvlText w:val="(%2)"/>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CAD34">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CCADC4">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477F0">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7279D6">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4D444">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3C0AAA">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D25BAA">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41637F"/>
    <w:multiLevelType w:val="hybridMultilevel"/>
    <w:tmpl w:val="751C2CD2"/>
    <w:lvl w:ilvl="0" w:tplc="F6CEC4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3C576C">
      <w:start w:val="1"/>
      <w:numFmt w:val="upperRoman"/>
      <w:lvlText w:val="%2."/>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706D60">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40D77C">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E7996">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A4EBAA">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820326">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E6D78">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BEB518">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7A169C"/>
    <w:multiLevelType w:val="hybridMultilevel"/>
    <w:tmpl w:val="45B8130A"/>
    <w:lvl w:ilvl="0" w:tplc="A614B95C">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82C0E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853C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1A3B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8A733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365EA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7AA65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099C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2495B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722749"/>
    <w:multiLevelType w:val="hybridMultilevel"/>
    <w:tmpl w:val="B05AECF0"/>
    <w:lvl w:ilvl="0" w:tplc="45E82E94">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C58C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2C79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E0E80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4A0E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76B1F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A3C2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2FCC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8A7BE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A8417E"/>
    <w:multiLevelType w:val="hybridMultilevel"/>
    <w:tmpl w:val="788E553A"/>
    <w:lvl w:ilvl="0" w:tplc="FA66B7CC">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12200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D64BF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D4315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8436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80974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AC4C5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E2989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0A2BE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4"/>
  </w:num>
  <w:num w:numId="3">
    <w:abstractNumId w:val="13"/>
  </w:num>
  <w:num w:numId="4">
    <w:abstractNumId w:val="1"/>
  </w:num>
  <w:num w:numId="5">
    <w:abstractNumId w:val="0"/>
  </w:num>
  <w:num w:numId="6">
    <w:abstractNumId w:val="6"/>
  </w:num>
  <w:num w:numId="7">
    <w:abstractNumId w:val="5"/>
  </w:num>
  <w:num w:numId="8">
    <w:abstractNumId w:val="2"/>
  </w:num>
  <w:num w:numId="9">
    <w:abstractNumId w:val="3"/>
  </w:num>
  <w:num w:numId="10">
    <w:abstractNumId w:val="15"/>
  </w:num>
  <w:num w:numId="11">
    <w:abstractNumId w:val="9"/>
  </w:num>
  <w:num w:numId="12">
    <w:abstractNumId w:val="7"/>
  </w:num>
  <w:num w:numId="13">
    <w:abstractNumId w:val="4"/>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5C"/>
    <w:rsid w:val="0007659D"/>
    <w:rsid w:val="000E27C0"/>
    <w:rsid w:val="000E506C"/>
    <w:rsid w:val="00116124"/>
    <w:rsid w:val="00123570"/>
    <w:rsid w:val="0019036A"/>
    <w:rsid w:val="001D34E8"/>
    <w:rsid w:val="00285286"/>
    <w:rsid w:val="00295EE3"/>
    <w:rsid w:val="002F7335"/>
    <w:rsid w:val="00326698"/>
    <w:rsid w:val="003F741D"/>
    <w:rsid w:val="0049115C"/>
    <w:rsid w:val="004C1E9D"/>
    <w:rsid w:val="004D0FAE"/>
    <w:rsid w:val="005220B3"/>
    <w:rsid w:val="00564C4E"/>
    <w:rsid w:val="005A27A3"/>
    <w:rsid w:val="00666E5A"/>
    <w:rsid w:val="00695285"/>
    <w:rsid w:val="006E5E87"/>
    <w:rsid w:val="0072610B"/>
    <w:rsid w:val="007F3DD2"/>
    <w:rsid w:val="0080404C"/>
    <w:rsid w:val="0081065E"/>
    <w:rsid w:val="00811806"/>
    <w:rsid w:val="00845FDC"/>
    <w:rsid w:val="008E17F6"/>
    <w:rsid w:val="009F2519"/>
    <w:rsid w:val="00AA0973"/>
    <w:rsid w:val="00AC1EED"/>
    <w:rsid w:val="00B92AA9"/>
    <w:rsid w:val="00BB15CC"/>
    <w:rsid w:val="00BE2403"/>
    <w:rsid w:val="00C27565"/>
    <w:rsid w:val="00C40BB0"/>
    <w:rsid w:val="00C67843"/>
    <w:rsid w:val="00CD48F2"/>
    <w:rsid w:val="00D06BC5"/>
    <w:rsid w:val="00D33B71"/>
    <w:rsid w:val="00D80FE1"/>
    <w:rsid w:val="00DF5506"/>
    <w:rsid w:val="00E500ED"/>
    <w:rsid w:val="00E771D5"/>
    <w:rsid w:val="00EB0563"/>
    <w:rsid w:val="00EB77D6"/>
    <w:rsid w:val="00ED431D"/>
    <w:rsid w:val="00F07480"/>
    <w:rsid w:val="00F17E43"/>
    <w:rsid w:val="00F3667E"/>
    <w:rsid w:val="00F5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62AFD-ED35-4DE9-A540-12EF422E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4" w:line="249" w:lineRule="auto"/>
      <w:ind w:left="57"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3"/>
      <w:ind w:left="41"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36"/>
      <w:ind w:left="4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36"/>
      <w:ind w:left="4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236"/>
      <w:ind w:left="43"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40BB0"/>
    <w:pPr>
      <w:spacing w:after="0" w:line="240" w:lineRule="auto"/>
    </w:pPr>
    <w:rPr>
      <w:rFonts w:eastAsiaTheme="minorHAnsi"/>
      <w:lang w:eastAsia="en-US"/>
    </w:rPr>
  </w:style>
  <w:style w:type="character" w:styleId="Emphasis">
    <w:name w:val="Emphasis"/>
    <w:basedOn w:val="DefaultParagraphFont"/>
    <w:uiPriority w:val="20"/>
    <w:qFormat/>
    <w:rsid w:val="00845FDC"/>
    <w:rPr>
      <w:i w:val="0"/>
      <w:iCs w:val="0"/>
    </w:rPr>
  </w:style>
  <w:style w:type="character" w:styleId="Strong">
    <w:name w:val="Strong"/>
    <w:basedOn w:val="DefaultParagraphFont"/>
    <w:uiPriority w:val="22"/>
    <w:qFormat/>
    <w:rsid w:val="00845FDC"/>
    <w:rPr>
      <w:b/>
      <w:bCs/>
    </w:rPr>
  </w:style>
  <w:style w:type="paragraph" w:styleId="NormalWeb">
    <w:name w:val="Normal (Web)"/>
    <w:basedOn w:val="Normal"/>
    <w:uiPriority w:val="99"/>
    <w:semiHidden/>
    <w:unhideWhenUsed/>
    <w:rsid w:val="00845FDC"/>
    <w:pPr>
      <w:spacing w:before="100" w:beforeAutospacing="1" w:after="210" w:line="300" w:lineRule="atLeast"/>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33175">
      <w:bodyDiv w:val="1"/>
      <w:marLeft w:val="0"/>
      <w:marRight w:val="0"/>
      <w:marTop w:val="0"/>
      <w:marBottom w:val="0"/>
      <w:divBdr>
        <w:top w:val="none" w:sz="0" w:space="0" w:color="auto"/>
        <w:left w:val="none" w:sz="0" w:space="0" w:color="auto"/>
        <w:bottom w:val="none" w:sz="0" w:space="0" w:color="auto"/>
        <w:right w:val="none" w:sz="0" w:space="0" w:color="auto"/>
      </w:divBdr>
      <w:divsChild>
        <w:div w:id="1136918888">
          <w:marLeft w:val="0"/>
          <w:marRight w:val="0"/>
          <w:marTop w:val="0"/>
          <w:marBottom w:val="0"/>
          <w:divBdr>
            <w:top w:val="none" w:sz="0" w:space="0" w:color="auto"/>
            <w:left w:val="none" w:sz="0" w:space="0" w:color="auto"/>
            <w:bottom w:val="none" w:sz="0" w:space="0" w:color="auto"/>
            <w:right w:val="none" w:sz="0" w:space="0" w:color="auto"/>
          </w:divBdr>
          <w:divsChild>
            <w:div w:id="1536771879">
              <w:marLeft w:val="0"/>
              <w:marRight w:val="0"/>
              <w:marTop w:val="0"/>
              <w:marBottom w:val="0"/>
              <w:divBdr>
                <w:top w:val="none" w:sz="0" w:space="0" w:color="auto"/>
                <w:left w:val="none" w:sz="0" w:space="0" w:color="auto"/>
                <w:bottom w:val="none" w:sz="0" w:space="0" w:color="auto"/>
                <w:right w:val="none" w:sz="0" w:space="0" w:color="auto"/>
              </w:divBdr>
              <w:divsChild>
                <w:div w:id="20877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cp:lastModifiedBy>Lewis, Catherine</cp:lastModifiedBy>
  <cp:revision>20</cp:revision>
  <dcterms:created xsi:type="dcterms:W3CDTF">2017-10-06T11:20:00Z</dcterms:created>
  <dcterms:modified xsi:type="dcterms:W3CDTF">2017-10-06T11:46:00Z</dcterms:modified>
</cp:coreProperties>
</file>